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4DD" w:rsidRDefault="009854DD"/>
    <w:p w:rsidR="00EC035A" w:rsidRDefault="00EC035A"/>
    <w:p w:rsidR="00EC035A" w:rsidRDefault="00EC035A"/>
    <w:p w:rsidR="00EC035A" w:rsidRDefault="00EC035A"/>
    <w:p w:rsidR="00EC035A" w:rsidRDefault="00EC035A"/>
    <w:p w:rsidR="00EC035A" w:rsidRDefault="00EC035A"/>
    <w:p w:rsidR="00EC035A" w:rsidRDefault="00EC035A"/>
    <w:p w:rsidR="00EC035A" w:rsidRDefault="00EC035A"/>
    <w:p w:rsidR="00EC035A" w:rsidRDefault="00EC035A"/>
    <w:p w:rsidR="00EC035A" w:rsidRPr="00EC035A" w:rsidRDefault="00EC035A" w:rsidP="00EC035A">
      <w:pPr>
        <w:spacing w:line="480" w:lineRule="auto"/>
        <w:rPr>
          <w:rFonts w:ascii="Times New Roman" w:hAnsi="Times New Roman"/>
          <w:sz w:val="24"/>
          <w:szCs w:val="24"/>
        </w:rPr>
      </w:pPr>
    </w:p>
    <w:p w:rsidR="00EC035A" w:rsidRPr="00EC035A" w:rsidRDefault="00EC035A" w:rsidP="00ED73FC">
      <w:pPr>
        <w:pStyle w:val="Header"/>
        <w:spacing w:line="480" w:lineRule="auto"/>
        <w:jc w:val="center"/>
        <w:rPr>
          <w:rFonts w:ascii="Times New Roman" w:hAnsi="Times New Roman"/>
          <w:caps/>
          <w:sz w:val="24"/>
          <w:szCs w:val="24"/>
        </w:rPr>
      </w:pPr>
      <w:bookmarkStart w:id="0" w:name="_Hlk520554426"/>
      <w:r w:rsidRPr="00EC035A">
        <w:rPr>
          <w:rFonts w:ascii="Times New Roman" w:hAnsi="Times New Roman"/>
          <w:caps/>
          <w:sz w:val="24"/>
          <w:szCs w:val="24"/>
        </w:rPr>
        <w:t>Root-Cause Analysis and SAFETY Improvement Plan</w:t>
      </w:r>
    </w:p>
    <w:bookmarkEnd w:id="0"/>
    <w:p w:rsidR="00EC035A" w:rsidRPr="00EC035A" w:rsidRDefault="00EC035A" w:rsidP="00ED73FC">
      <w:pPr>
        <w:spacing w:line="480" w:lineRule="auto"/>
        <w:jc w:val="center"/>
        <w:rPr>
          <w:rFonts w:ascii="Times New Roman" w:hAnsi="Times New Roman"/>
          <w:sz w:val="24"/>
          <w:szCs w:val="24"/>
        </w:rPr>
      </w:pPr>
      <w:r w:rsidRPr="00EC035A">
        <w:rPr>
          <w:rFonts w:ascii="Times New Roman" w:hAnsi="Times New Roman"/>
          <w:sz w:val="24"/>
          <w:szCs w:val="24"/>
        </w:rPr>
        <w:t>Student Name</w:t>
      </w:r>
    </w:p>
    <w:p w:rsidR="00EC035A" w:rsidRPr="00EC035A" w:rsidRDefault="00EC035A" w:rsidP="00ED73FC">
      <w:pPr>
        <w:spacing w:line="480" w:lineRule="auto"/>
        <w:jc w:val="center"/>
        <w:rPr>
          <w:rFonts w:ascii="Times New Roman" w:hAnsi="Times New Roman"/>
          <w:sz w:val="24"/>
          <w:szCs w:val="24"/>
        </w:rPr>
      </w:pPr>
      <w:r w:rsidRPr="00EC035A">
        <w:rPr>
          <w:rFonts w:ascii="Times New Roman" w:hAnsi="Times New Roman"/>
          <w:sz w:val="24"/>
          <w:szCs w:val="24"/>
        </w:rPr>
        <w:t>Instructor Name</w:t>
      </w:r>
    </w:p>
    <w:p w:rsidR="00EC035A" w:rsidRPr="00EC035A" w:rsidRDefault="00EC035A" w:rsidP="00ED73FC">
      <w:pPr>
        <w:spacing w:line="480" w:lineRule="auto"/>
        <w:jc w:val="center"/>
        <w:rPr>
          <w:rFonts w:ascii="Times New Roman" w:hAnsi="Times New Roman"/>
          <w:sz w:val="24"/>
          <w:szCs w:val="24"/>
        </w:rPr>
      </w:pPr>
      <w:r w:rsidRPr="00EC035A">
        <w:rPr>
          <w:rFonts w:ascii="Times New Roman" w:hAnsi="Times New Roman"/>
          <w:sz w:val="24"/>
          <w:szCs w:val="24"/>
        </w:rPr>
        <w:t xml:space="preserve">University Name </w:t>
      </w:r>
    </w:p>
    <w:p w:rsidR="00EC035A" w:rsidRPr="00EC035A" w:rsidRDefault="00EC035A" w:rsidP="00ED73FC">
      <w:pPr>
        <w:spacing w:line="480" w:lineRule="auto"/>
        <w:jc w:val="center"/>
        <w:rPr>
          <w:rFonts w:ascii="Times New Roman" w:hAnsi="Times New Roman"/>
          <w:sz w:val="24"/>
          <w:szCs w:val="24"/>
        </w:rPr>
      </w:pPr>
      <w:r w:rsidRPr="00EC035A">
        <w:rPr>
          <w:rFonts w:ascii="Times New Roman" w:hAnsi="Times New Roman"/>
          <w:sz w:val="24"/>
          <w:szCs w:val="24"/>
        </w:rPr>
        <w:t>14, July, 2020</w:t>
      </w:r>
    </w:p>
    <w:p w:rsidR="00EC035A" w:rsidRPr="00EC035A" w:rsidRDefault="00EC035A" w:rsidP="00EC035A">
      <w:pPr>
        <w:pStyle w:val="Header"/>
        <w:spacing w:line="480" w:lineRule="auto"/>
        <w:jc w:val="center"/>
        <w:rPr>
          <w:rFonts w:ascii="Times New Roman" w:hAnsi="Times New Roman"/>
          <w:caps/>
          <w:sz w:val="24"/>
          <w:szCs w:val="24"/>
        </w:rPr>
      </w:pPr>
    </w:p>
    <w:p w:rsidR="00EC035A" w:rsidRDefault="00EC035A">
      <w:r>
        <w:br w:type="page"/>
      </w:r>
    </w:p>
    <w:p w:rsidR="0046010D" w:rsidRDefault="0046010D" w:rsidP="0046010D">
      <w:pPr>
        <w:pStyle w:val="NormalWeb"/>
        <w:spacing w:before="0" w:beforeAutospacing="0" w:after="0" w:afterAutospacing="0"/>
        <w:rPr>
          <w:color w:val="0E101A"/>
        </w:rPr>
      </w:pP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Medical error is an avoidable adverse effect of care that, whether known or not, can be detrimental to the patient. Drug error is one of the leading medical errors, often preventable, which can occur at different stages of a patient's treatment (Yusef, N., &amp; Yuseph, F, 2017.) An incident in which a patient received four times within the facility caused us the amount of a control substance due to an input error. This analysis will shed light on the causes of drug errors, at what stage they are prescribed, the different types and ways to prevent them.</w:t>
      </w:r>
    </w:p>
    <w:p w:rsidR="0046010D" w:rsidRPr="0046010D" w:rsidRDefault="0046010D" w:rsidP="0046010D">
      <w:pPr>
        <w:pStyle w:val="Heading2"/>
        <w:spacing w:before="0" w:line="480" w:lineRule="auto"/>
        <w:jc w:val="both"/>
        <w:rPr>
          <w:rFonts w:ascii="Times New Roman" w:hAnsi="Times New Roman"/>
          <w:color w:val="0E101A"/>
          <w:sz w:val="24"/>
          <w:szCs w:val="24"/>
        </w:rPr>
      </w:pPr>
      <w:r w:rsidRPr="0046010D">
        <w:rPr>
          <w:rStyle w:val="Strong"/>
          <w:rFonts w:ascii="Times New Roman" w:hAnsi="Times New Roman"/>
          <w:bCs w:val="0"/>
          <w:color w:val="0E101A"/>
          <w:sz w:val="24"/>
          <w:szCs w:val="24"/>
        </w:rPr>
        <w:t>Analysis of the Root Cause</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In a rehabilitation setting, when caring for as pregnant female withdrawing from opiates IV usage that has returned from the emergency with the diagnosis of possible spontaneous abortion. Upon the initial assessment of the shift, the patient appeared severally lethargic, causing to review of chart notes to obtain a clearer picture of the patient’s baseline. We noticed that her home medication did not correlate with MAR while reviewing the patient’s chart. The discrepancies causing the most concern was having a prescription of Suboxone 8 mg-2mg sublingual film ½ BID but receiving Buprenophrine 8mg 2 Sub BID. The first action was to read up on that medication, considering the possibility that the conversion rate might be the reason behind the difference in unit amount. After not being able to find a satisfying answer, the next approach was consulting with the medication nurse. We reviewed the chart, all entries of documentation, medication handbook, and could not come to a rational explanation of why the patient has been receiving four times her normal dose for the past four days. Once the Provider, who entered the order, was contacted, it was evident that it was an error. An internal investigation was started, concerning the cause of that error and if it might result in an abortion. </w:t>
      </w:r>
    </w:p>
    <w:p w:rsidR="0046010D" w:rsidRDefault="0046010D" w:rsidP="0046010D">
      <w:pPr>
        <w:pStyle w:val="NormalWeb"/>
        <w:spacing w:before="0" w:beforeAutospacing="0" w:after="0" w:afterAutospacing="0" w:line="480" w:lineRule="auto"/>
        <w:jc w:val="both"/>
        <w:rPr>
          <w:color w:val="0E101A"/>
        </w:rPr>
      </w:pPr>
      <w:r>
        <w:rPr>
          <w:color w:val="0E101A"/>
        </w:rPr>
        <w:br w:type="page"/>
      </w:r>
      <w:r w:rsidRPr="0046010D">
        <w:rPr>
          <w:color w:val="0E101A"/>
        </w:rPr>
        <w:lastRenderedPageBreak/>
        <w:t>Considering the adverse implications of error in such patients, a root-cause analysis was conducted on the case. The analysis aimed to understand the cause of the error. The analysis was conducted by a team of five experts including clinicians, supervisors, and quality improvement personnel. A timeline of the event under review is created. The preliminary information gathered is shared with the team and other details about the event are elicited from team members. The event occurred for four days. </w:t>
      </w:r>
      <w:r w:rsidRPr="0046010D">
        <w:rPr>
          <w:rStyle w:val="Emphasis"/>
          <w:i w:val="0"/>
          <w:color w:val="0E101A"/>
        </w:rPr>
        <w:t>Suboxone </w:t>
      </w:r>
      <w:r w:rsidRPr="0046010D">
        <w:rPr>
          <w:color w:val="0E101A"/>
        </w:rPr>
        <w:t>contains two drugs includes buprenorphine and naloxone. It’s used to treat dependence on opiates. The patient was withdrawing from opiates and this medication was prescribed. </w:t>
      </w:r>
    </w:p>
    <w:p w:rsidR="0046010D" w:rsidRPr="0046010D" w:rsidRDefault="0046010D" w:rsidP="0046010D">
      <w:pPr>
        <w:pStyle w:val="NormalWeb"/>
        <w:spacing w:before="0" w:beforeAutospacing="0" w:after="0" w:afterAutospacing="0" w:line="480" w:lineRule="auto"/>
        <w:jc w:val="both"/>
        <w:rPr>
          <w:color w:val="0E101A"/>
        </w:rPr>
      </w:pPr>
    </w:p>
    <w:p w:rsidR="0046010D" w:rsidRDefault="0046010D" w:rsidP="0046010D">
      <w:pPr>
        <w:pStyle w:val="NormalWeb"/>
        <w:spacing w:before="0" w:beforeAutospacing="0" w:after="0" w:afterAutospacing="0" w:line="480" w:lineRule="auto"/>
        <w:jc w:val="both"/>
        <w:rPr>
          <w:color w:val="0E101A"/>
        </w:rPr>
      </w:pPr>
      <w:r w:rsidRPr="0046010D">
        <w:rPr>
          <w:color w:val="0E101A"/>
        </w:rPr>
        <w:t>Pregnant women with use disorder are typically maintained on opiates medication through pregnancy, the medication harms the baby. Overdose can lead to the death or abortion of the baby. Neonatal abstinence syndrome (NAS) occurs when pregnant women take opiates drugs during pregnancy, and the baby is born dependent on them.</w:t>
      </w:r>
    </w:p>
    <w:p w:rsidR="0046010D" w:rsidRPr="0046010D" w:rsidRDefault="0046010D" w:rsidP="0046010D">
      <w:pPr>
        <w:pStyle w:val="NormalWeb"/>
        <w:spacing w:before="0" w:beforeAutospacing="0" w:after="0" w:afterAutospacing="0" w:line="480" w:lineRule="auto"/>
        <w:jc w:val="both"/>
        <w:rPr>
          <w:color w:val="0E101A"/>
        </w:rPr>
      </w:pPr>
    </w:p>
    <w:p w:rsidR="0046010D" w:rsidRDefault="0046010D" w:rsidP="0046010D">
      <w:pPr>
        <w:pStyle w:val="NormalWeb"/>
        <w:spacing w:before="0" w:beforeAutospacing="0" w:after="0" w:afterAutospacing="0" w:line="480" w:lineRule="auto"/>
        <w:jc w:val="both"/>
        <w:rPr>
          <w:color w:val="0E101A"/>
        </w:rPr>
      </w:pPr>
      <w:r w:rsidRPr="0046010D">
        <w:rPr>
          <w:color w:val="0E101A"/>
        </w:rPr>
        <w:t>The team of experts reviewed the reports of error and noted that in over 20% of this severe lethargic is due to hormonal changes especially increased progesterone levels in the first trimester. It was also noted that 20% is due to the low blood pressure and 10% may be due to physical changes and emotional changes. At least 10% is by extra weight from the baby, maybe having trouble sleeping, and dealing with frequent urination more often. But the team reported that there is 50% is due to the error or four t</w:t>
      </w:r>
      <w:r>
        <w:rPr>
          <w:color w:val="0E101A"/>
        </w:rPr>
        <w:t>imes the dose of the medication</w:t>
      </w:r>
      <w:r w:rsidRPr="0046010D">
        <w:t xml:space="preserve"> </w:t>
      </w:r>
      <w:r>
        <w:t>(</w:t>
      </w:r>
      <w:r w:rsidRPr="0046010D">
        <w:rPr>
          <w:rStyle w:val="Emphasis"/>
        </w:rPr>
        <w:t>Fatigue during pregnancy</w:t>
      </w:r>
      <w:r>
        <w:t xml:space="preserve">. </w:t>
      </w:r>
      <w:r w:rsidRPr="0046010D">
        <w:t>2020, May 21).</w:t>
      </w:r>
    </w:p>
    <w:p w:rsidR="0046010D" w:rsidRPr="0046010D" w:rsidRDefault="0046010D" w:rsidP="0046010D">
      <w:pPr>
        <w:pStyle w:val="NormalWeb"/>
        <w:spacing w:before="0" w:beforeAutospacing="0" w:after="0" w:afterAutospacing="0" w:line="480" w:lineRule="auto"/>
        <w:jc w:val="both"/>
        <w:rPr>
          <w:color w:val="0E101A"/>
        </w:rPr>
      </w:pP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64.55% of medication errors are made by nurses. 31.37% of participants reported drug errors on the verge of the event. The providers have to check the medication before giving it to the patient. </w:t>
      </w:r>
    </w:p>
    <w:p w:rsidR="0046010D" w:rsidRPr="0046010D" w:rsidRDefault="0046010D" w:rsidP="0046010D">
      <w:pPr>
        <w:pStyle w:val="NormalWeb"/>
        <w:spacing w:before="0" w:beforeAutospacing="0" w:after="0" w:afterAutospacing="0" w:line="480" w:lineRule="auto"/>
        <w:jc w:val="both"/>
        <w:rPr>
          <w:color w:val="0E101A"/>
        </w:rPr>
      </w:pPr>
      <w:r w:rsidRPr="0046010D">
        <w:rPr>
          <w:rStyle w:val="Strong"/>
          <w:color w:val="0E101A"/>
        </w:rPr>
        <w:lastRenderedPageBreak/>
        <w:t>Application of Evidence-Based Strategies reduces medication errors. </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All nurses should be well versed in various strategies to prevent or minimize the occurrence of medication errors. The nurse must confirm the rights of the drug administration. Nurses must ensure that corporate policies regarding drug transcription are followed. Follow proper medication reconciliation procedures. Review and verify each medication for the right patient, the right medication, the right dose, the right route, and the right time against transfer orders. Double-check the procedures or double-check. Have the doctor (or another nurse) re-read it, and the nurse re-read an order to the doctor who recommended it to make sure the prescribed medication is properly copied.</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Note the use of name warning. Some companies use name alerts to prevent the mixing of similarly sounding patient names with potential drugs. Decimal point Example Place zero before 0.25mg. Document everything. Ensure proper storage of medications for optimal efficacy. Learn the company's drug management policies, regulations, and guidelines. Note that there is a medication guide at all times</w:t>
      </w:r>
      <w:r w:rsidRPr="0046010D">
        <w:t xml:space="preserve"> </w:t>
      </w:r>
      <w:r>
        <w:t>(</w:t>
      </w:r>
      <w:r w:rsidRPr="0046010D">
        <w:rPr>
          <w:rStyle w:val="Emphasis"/>
        </w:rPr>
        <w:t>Medical error prevention - StatPearls - NCBI bookshelf</w:t>
      </w:r>
      <w:r>
        <w:t xml:space="preserve">. </w:t>
      </w:r>
      <w:r w:rsidRPr="0046010D">
        <w:t>2020, February 5).</w:t>
      </w:r>
    </w:p>
    <w:p w:rsidR="0046010D" w:rsidRPr="0046010D" w:rsidRDefault="0046010D" w:rsidP="0046010D">
      <w:pPr>
        <w:pStyle w:val="NormalWeb"/>
        <w:spacing w:before="0" w:beforeAutospacing="0" w:after="0" w:afterAutospacing="0" w:line="480" w:lineRule="auto"/>
        <w:jc w:val="both"/>
        <w:rPr>
          <w:color w:val="0E101A"/>
        </w:rPr>
      </w:pPr>
      <w:r w:rsidRPr="0046010D">
        <w:rPr>
          <w:rStyle w:val="Strong"/>
          <w:color w:val="0E101A"/>
        </w:rPr>
        <w:t>Improvement Plan</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The development plan involves a two-pronged approach: planning for safe drug practices, which begins with making drug safety an institutional and sectoral priority and implementing a system that supports these practices. As a drug safety leader, the organization should have a comprehensive plan that includes the key components and successful strategic plan for providing a framework for safe drug practices. The event-reporting system, an intermediate drug safety team, Continuous development philosophy related to the evaluation of errors and harms and robust designs for assessing and minimizing the risk of errors.</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 xml:space="preserve">An organization for reporting and reviewing errors is an essential part of the drug safety system; its goal is to improve patient safety and prevent harm to the patient. Errors and close </w:t>
      </w:r>
      <w:r w:rsidRPr="0046010D">
        <w:rPr>
          <w:color w:val="0E101A"/>
        </w:rPr>
        <w:lastRenderedPageBreak/>
        <w:t>calls should be reported and analyzed</w:t>
      </w:r>
      <w:r w:rsidRPr="0046010D">
        <w:t xml:space="preserve"> </w:t>
      </w:r>
      <w:r>
        <w:t>(</w:t>
      </w:r>
      <w:r w:rsidRPr="0046010D">
        <w:t>Https://www.cms.gov/medicare/provider-enrollment-and-certification/qapi/downloads/g</w:t>
      </w:r>
      <w:r>
        <w:t>uidanceforrca.pdf. (n.d.) ASHP).</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The second part of the development plan is effective communication in a healthy environment. One of the main problems that can cause drug errors is ineffective communication. The error was not properly reported to the provider about the medication and ineffective communication with the patient and nurse. The relationship between the pharmacist and the patient is very important because they are the drug providers to achieve the desired satisfaction of the patient and to improve the medication and treatment results. Another way to avoid medication error is to make sure the language used to communicate with the patient is appropriate, simple, and clear (Solet et al. 2005). (Calder et al. 2017) He suggested that to improve patient safety during resuscitation of ill patients, group communication and group situational awareness should be improved. Continuous communication methods that reveal the team’s dense data at short intervals are mandatory (Lingard et al., 2008).</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The favorable social setting is also important so that both parties involved in the communication can feel comfortable discussing the treatment. (Moore, Wilkinson, and Rivera Mercado 2004) proposed that considerable effort should be dedicated to courses improving communication skills for health professionals.</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(According to Schillinger et al. 2005), The use of visual aids may improve the accuracy of patient reports. Doctor-patient communication related to drugs is a fundamental aspect of health. (Leonard 2004) suggested that effective communication and teamwork are essential to providing quality health care. Avoiding drug errors through effective communication services.</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t>CONCLUSION </w:t>
      </w:r>
    </w:p>
    <w:p w:rsidR="0046010D" w:rsidRPr="0046010D" w:rsidRDefault="0046010D" w:rsidP="0046010D">
      <w:pPr>
        <w:pStyle w:val="NormalWeb"/>
        <w:spacing w:before="0" w:beforeAutospacing="0" w:after="0" w:afterAutospacing="0" w:line="480" w:lineRule="auto"/>
        <w:jc w:val="both"/>
        <w:rPr>
          <w:color w:val="0E101A"/>
        </w:rPr>
      </w:pPr>
      <w:r w:rsidRPr="0046010D">
        <w:rPr>
          <w:color w:val="0E101A"/>
        </w:rPr>
        <w:lastRenderedPageBreak/>
        <w:t>A medication error is a major problem in the health care sector. They are largely preventable. A root-cause analysis of medication error in the pregnant woman who has a withdrawal of opiates is the case. The precipitating factor is the four times the dose of a control substance and the usage of Buprenophrine instead of Suboxone. The paper discusses evidence-based strategies such as follow the rights of medication, Review and verify each medication, double or triple check the medication before administration. A two-pronged improvement plan was planning for Safe Medication Practices and effective communication.</w:t>
      </w:r>
    </w:p>
    <w:p w:rsidR="000B7C4A" w:rsidRPr="00ED73FC" w:rsidRDefault="008E69B3" w:rsidP="00ED73FC">
      <w:pPr>
        <w:rPr>
          <w:rFonts w:ascii="Times New Roman" w:hAnsi="Times New Roman"/>
          <w:sz w:val="24"/>
          <w:szCs w:val="24"/>
        </w:rPr>
      </w:pPr>
      <w:r>
        <w:rPr>
          <w:rFonts w:ascii="Times New Roman" w:hAnsi="Times New Roman"/>
          <w:sz w:val="24"/>
          <w:szCs w:val="24"/>
        </w:rPr>
        <w:br w:type="page"/>
      </w:r>
    </w:p>
    <w:sdt>
      <w:sdtPr>
        <w:rPr>
          <w:rFonts w:ascii="Calibri" w:eastAsia="Calibri" w:hAnsi="Calibri" w:cs="Times New Roman"/>
          <w:b w:val="0"/>
          <w:bCs w:val="0"/>
          <w:color w:val="auto"/>
          <w:sz w:val="22"/>
          <w:szCs w:val="22"/>
          <w:lang w:val="en-GB" w:bidi="ar-SA"/>
        </w:rPr>
        <w:id w:val="239280427"/>
        <w:docPartObj>
          <w:docPartGallery w:val="Bibliographies"/>
          <w:docPartUnique/>
        </w:docPartObj>
      </w:sdtPr>
      <w:sdtContent>
        <w:p w:rsidR="00ED73FC" w:rsidRPr="00ED73FC" w:rsidRDefault="00ED73FC" w:rsidP="00ED73FC">
          <w:pPr>
            <w:pStyle w:val="Heading1"/>
            <w:rPr>
              <w:rFonts w:ascii="Calibri" w:eastAsia="Calibri" w:hAnsi="Calibri" w:cs="Times New Roman"/>
              <w:b w:val="0"/>
              <w:bCs w:val="0"/>
              <w:color w:val="auto"/>
              <w:sz w:val="22"/>
              <w:szCs w:val="22"/>
              <w:lang w:val="en-GB" w:bidi="ar-SA"/>
            </w:rPr>
          </w:pPr>
        </w:p>
        <w:p w:rsidR="00ED73FC" w:rsidRDefault="00ED73FC" w:rsidP="00ED73FC">
          <w:pPr>
            <w:spacing w:line="480" w:lineRule="auto"/>
            <w:ind w:hanging="720"/>
            <w:jc w:val="both"/>
            <w:rPr>
              <w:rFonts w:ascii="Times New Roman" w:hAnsi="Times New Roman"/>
              <w:sz w:val="24"/>
              <w:szCs w:val="24"/>
            </w:rPr>
          </w:pPr>
          <w:r>
            <w:rPr>
              <w:rFonts w:ascii="Times New Roman" w:hAnsi="Times New Roman"/>
              <w:sz w:val="24"/>
              <w:szCs w:val="24"/>
            </w:rPr>
            <w:t>REFERENCES</w:t>
          </w:r>
        </w:p>
        <w:p w:rsidR="00ED73FC"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 xml:space="preserve">Calder, L. A., Mastoras, G., Rahimpour, M., Sohmer, B., Weitzman, B., Cwinn, A. A., Hobin T., &amp; Parush, A. (2017). Team communication patterns in emergency resuscitation: a mixed methods qualitative analysis. International Journal of Emergency Medicine, 10(1), 24. </w:t>
          </w:r>
          <w:hyperlink r:id="rId7" w:history="1">
            <w:r w:rsidRPr="0046010D">
              <w:rPr>
                <w:rStyle w:val="Hyperlink"/>
                <w:rFonts w:ascii="Times New Roman" w:hAnsi="Times New Roman"/>
                <w:sz w:val="24"/>
                <w:szCs w:val="24"/>
              </w:rPr>
              <w:t>https://doi.org/10.1186/s12245-017-0149-4</w:t>
            </w:r>
          </w:hyperlink>
        </w:p>
        <w:p w:rsidR="00ED73FC" w:rsidRDefault="00ED73FC" w:rsidP="00ED73FC">
          <w:pPr>
            <w:spacing w:line="480" w:lineRule="auto"/>
            <w:ind w:hanging="720"/>
            <w:jc w:val="both"/>
            <w:rPr>
              <w:rFonts w:ascii="Times New Roman" w:hAnsi="Times New Roman"/>
              <w:sz w:val="24"/>
              <w:szCs w:val="24"/>
            </w:rPr>
          </w:pPr>
          <w:r w:rsidRPr="0046010D">
            <w:rPr>
              <w:rStyle w:val="Emphasis"/>
              <w:rFonts w:ascii="Times New Roman" w:hAnsi="Times New Roman"/>
              <w:sz w:val="24"/>
              <w:szCs w:val="24"/>
            </w:rPr>
            <w:t>Fatigue during pregnancy</w:t>
          </w:r>
          <w:r w:rsidRPr="0046010D">
            <w:rPr>
              <w:rFonts w:ascii="Times New Roman" w:hAnsi="Times New Roman"/>
              <w:sz w:val="24"/>
              <w:szCs w:val="24"/>
            </w:rPr>
            <w:t xml:space="preserve">. (2020, May 21). American Pregnancy Association.  Retrieved from </w:t>
          </w:r>
          <w:hyperlink r:id="rId8" w:history="1">
            <w:r w:rsidRPr="0046010D">
              <w:rPr>
                <w:rStyle w:val="Hyperlink"/>
                <w:rFonts w:ascii="Times New Roman" w:hAnsi="Times New Roman"/>
                <w:sz w:val="24"/>
                <w:szCs w:val="24"/>
              </w:rPr>
              <w:t>https://americanpregnancy.org/your-pregnancy/fatigue-during-pregnancy/</w:t>
            </w:r>
          </w:hyperlink>
        </w:p>
        <w:p w:rsidR="00ED73FC"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 xml:space="preserve">Https://www.cms.gov/medicare/provider-enrollment-and-certification/qapi/downloads/guidanceforrca.pdf. (n.d.). ASHP. Retrieved from </w:t>
          </w:r>
          <w:hyperlink r:id="rId9" w:history="1">
            <w:r w:rsidRPr="0046010D">
              <w:rPr>
                <w:rStyle w:val="Hyperlink"/>
                <w:rFonts w:ascii="Times New Roman" w:hAnsi="Times New Roman"/>
                <w:sz w:val="24"/>
                <w:szCs w:val="24"/>
              </w:rPr>
              <w:t>https://www.ashp.org/-/media/assets/policy-guidelines/docs/guidelines/preventing-medication-errors-hospitals.ashx</w:t>
            </w:r>
          </w:hyperlink>
        </w:p>
        <w:p w:rsidR="00ED73FC" w:rsidRDefault="00D95D16" w:rsidP="00ED73FC">
          <w:pPr>
            <w:spacing w:line="480" w:lineRule="auto"/>
            <w:ind w:hanging="720"/>
            <w:jc w:val="both"/>
            <w:rPr>
              <w:rFonts w:ascii="Times New Roman" w:hAnsi="Times New Roman"/>
              <w:sz w:val="24"/>
              <w:szCs w:val="24"/>
            </w:rPr>
          </w:pPr>
          <w:hyperlink r:id="rId10" w:history="1">
            <w:r w:rsidR="00ED73FC" w:rsidRPr="0046010D">
              <w:rPr>
                <w:rStyle w:val="Hyperlink"/>
                <w:rFonts w:ascii="Times New Roman" w:hAnsi="Times New Roman"/>
                <w:sz w:val="24"/>
                <w:szCs w:val="24"/>
              </w:rPr>
              <w:t>https://www.ashp.org/-/media/assets/policy-guidelines/docs/guidelines/preventing-medication-errors-hospitals.ashx</w:t>
            </w:r>
          </w:hyperlink>
        </w:p>
        <w:p w:rsidR="00ED73FC"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Lingard, L., Regehr, G., Orser, B., Reznick, R., Baker, G. R., Doran, D., Espin, S., Bohnen, J., &amp; Whyte, S. (2008). Evaluation of a preoperative checklist and team briefing among surgeons, nurses, and anesthesiologists to reduce failures in communication. Archives of surgery, 143(1), 12-17.</w:t>
          </w:r>
        </w:p>
        <w:p w:rsidR="00ED73FC"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 xml:space="preserve">Leonard, M. (2004). The human factor: the critical importance of effective teamwork and communication in providing safe care. Quality and Safety in Healthcare, 13(suppl_1), i85–i90. </w:t>
          </w:r>
          <w:hyperlink r:id="rId11" w:history="1">
            <w:r w:rsidRPr="0046010D">
              <w:rPr>
                <w:rStyle w:val="Hyperlink"/>
                <w:rFonts w:ascii="Times New Roman" w:hAnsi="Times New Roman"/>
                <w:sz w:val="24"/>
                <w:szCs w:val="24"/>
              </w:rPr>
              <w:t>https://doi.org/10.1136/qshc.2004.010033</w:t>
            </w:r>
          </w:hyperlink>
        </w:p>
        <w:p w:rsidR="00ED73FC" w:rsidRDefault="00ED73FC" w:rsidP="00ED73FC">
          <w:pPr>
            <w:spacing w:line="480" w:lineRule="auto"/>
            <w:ind w:hanging="720"/>
            <w:jc w:val="both"/>
            <w:rPr>
              <w:rFonts w:ascii="Times New Roman" w:hAnsi="Times New Roman"/>
              <w:sz w:val="24"/>
              <w:szCs w:val="24"/>
            </w:rPr>
          </w:pPr>
          <w:r w:rsidRPr="0046010D">
            <w:rPr>
              <w:rStyle w:val="Emphasis"/>
              <w:rFonts w:ascii="Times New Roman" w:hAnsi="Times New Roman"/>
              <w:sz w:val="24"/>
              <w:szCs w:val="24"/>
            </w:rPr>
            <w:lastRenderedPageBreak/>
            <w:t>Medical error prevention - StatPearls - NCBI bookshelf</w:t>
          </w:r>
          <w:r w:rsidRPr="0046010D">
            <w:rPr>
              <w:rFonts w:ascii="Times New Roman" w:hAnsi="Times New Roman"/>
              <w:sz w:val="24"/>
              <w:szCs w:val="24"/>
            </w:rPr>
            <w:t xml:space="preserve">. (2020, February 5). National Center for Biotechnology Information. Retrieved from </w:t>
          </w:r>
          <w:hyperlink r:id="rId12" w:history="1">
            <w:r w:rsidRPr="0046010D">
              <w:rPr>
                <w:rStyle w:val="Hyperlink"/>
                <w:rFonts w:ascii="Times New Roman" w:hAnsi="Times New Roman"/>
                <w:sz w:val="24"/>
                <w:szCs w:val="24"/>
              </w:rPr>
              <w:t>https://www.ncbi.nlm.nih.gov/books/NBK499956/</w:t>
            </w:r>
          </w:hyperlink>
        </w:p>
        <w:p w:rsidR="00ED73FC"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 xml:space="preserve">Moore, P. M., Wilkinson, S. S., &amp; Rivera Mercado, S. (2004). Communication skills training for health care professionals working with cancer patients, their families and/or carers. Cochrane Database of Systematic Reviews, 2. </w:t>
          </w:r>
          <w:hyperlink r:id="rId13" w:history="1">
            <w:r w:rsidRPr="0046010D">
              <w:rPr>
                <w:rStyle w:val="Hyperlink"/>
                <w:rFonts w:ascii="Times New Roman" w:hAnsi="Times New Roman"/>
                <w:sz w:val="24"/>
                <w:szCs w:val="24"/>
              </w:rPr>
              <w:t>https://doi.org/10.1002/14651858.CD003751</w:t>
            </w:r>
          </w:hyperlink>
        </w:p>
        <w:p w:rsidR="00ED73FC" w:rsidRPr="0046010D"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Schillinger, D., Machtinger, E. L., Wang, F., Chen, L. L., Win, K., Palacios, J., Rodriguez, M., &amp; Bindman, A. (2005). Language, literacy, and communication regarding medication in an anticoagulation clinic: Are pictures better than words? editors. Source Advances in Patient Safety: From Research to Implementation (Volume 2: Concepts and Methodology). Rockville (MD): Agency for Healthcare Research and Quality (US)</w:t>
          </w:r>
        </w:p>
        <w:p w:rsidR="00ED73FC" w:rsidRPr="0046010D" w:rsidRDefault="00ED73FC" w:rsidP="00ED73FC">
          <w:pPr>
            <w:spacing w:line="480" w:lineRule="auto"/>
            <w:ind w:hanging="720"/>
            <w:jc w:val="both"/>
            <w:rPr>
              <w:rFonts w:ascii="Times New Roman" w:hAnsi="Times New Roman"/>
              <w:sz w:val="24"/>
              <w:szCs w:val="24"/>
            </w:rPr>
          </w:pPr>
          <w:r w:rsidRPr="0046010D">
            <w:rPr>
              <w:rFonts w:ascii="Times New Roman" w:hAnsi="Times New Roman"/>
              <w:sz w:val="24"/>
              <w:szCs w:val="24"/>
            </w:rPr>
            <w:t xml:space="preserve">Solet, D. J., Norvell, J. M., Rutan, G. H., &amp; Frankel, R. M. (2005). Lost in translation: challenges and opportunities in physician-to-physician communication during patient handoffs. Academic Medicine, 80(12), 1094–1099. </w:t>
          </w:r>
          <w:hyperlink r:id="rId14" w:history="1">
            <w:r w:rsidRPr="0046010D">
              <w:rPr>
                <w:rStyle w:val="Hyperlink"/>
                <w:rFonts w:ascii="Times New Roman" w:hAnsi="Times New Roman"/>
                <w:sz w:val="24"/>
                <w:szCs w:val="24"/>
              </w:rPr>
              <w:t>https://doi.org/10.1097/00001888- 200512000-00005</w:t>
            </w:r>
          </w:hyperlink>
        </w:p>
        <w:p w:rsidR="00ED73FC" w:rsidRPr="00ED73FC" w:rsidRDefault="00D95D16" w:rsidP="00ED73FC"/>
      </w:sdtContent>
    </w:sdt>
    <w:p w:rsidR="000628DB" w:rsidRDefault="000628DB" w:rsidP="000628DB">
      <w:pPr>
        <w:pStyle w:val="NormalWeb"/>
        <w:spacing w:before="0" w:beforeAutospacing="0" w:after="0" w:afterAutospacing="0" w:line="550" w:lineRule="atLeast"/>
        <w:ind w:left="720" w:right="75" w:hanging="720"/>
        <w:rPr>
          <w:rFonts w:ascii="Calibri" w:hAnsi="Calibri" w:cs="Calibri"/>
          <w:sz w:val="22"/>
          <w:szCs w:val="22"/>
        </w:rPr>
      </w:pPr>
    </w:p>
    <w:p w:rsidR="000628DB" w:rsidRPr="00767E3B" w:rsidRDefault="000628DB" w:rsidP="00767E3B">
      <w:pPr>
        <w:spacing w:line="480" w:lineRule="auto"/>
        <w:ind w:firstLine="720"/>
        <w:jc w:val="both"/>
        <w:rPr>
          <w:rFonts w:ascii="Times New Roman" w:hAnsi="Times New Roman"/>
          <w:sz w:val="24"/>
          <w:szCs w:val="24"/>
        </w:rPr>
      </w:pPr>
    </w:p>
    <w:p w:rsidR="00767E3B" w:rsidRPr="00767E3B" w:rsidRDefault="00767E3B" w:rsidP="00767E3B">
      <w:pPr>
        <w:spacing w:line="480" w:lineRule="auto"/>
        <w:ind w:firstLine="720"/>
        <w:jc w:val="both"/>
        <w:rPr>
          <w:rFonts w:ascii="Times New Roman" w:hAnsi="Times New Roman"/>
          <w:sz w:val="24"/>
          <w:szCs w:val="24"/>
        </w:rPr>
      </w:pPr>
    </w:p>
    <w:p w:rsidR="000A3230" w:rsidRPr="00B00321" w:rsidRDefault="000A3230" w:rsidP="003957F3">
      <w:pPr>
        <w:spacing w:line="480" w:lineRule="auto"/>
        <w:ind w:firstLine="720"/>
        <w:jc w:val="both"/>
        <w:rPr>
          <w:rStyle w:val="Strong"/>
          <w:rFonts w:ascii="Times New Roman" w:hAnsi="Times New Roman"/>
          <w:b w:val="0"/>
          <w:sz w:val="24"/>
          <w:szCs w:val="24"/>
        </w:rPr>
      </w:pPr>
    </w:p>
    <w:p w:rsidR="00B00321" w:rsidRPr="00B00321" w:rsidRDefault="00B00321" w:rsidP="003957F3">
      <w:pPr>
        <w:spacing w:line="480" w:lineRule="auto"/>
        <w:ind w:firstLine="720"/>
        <w:jc w:val="both"/>
        <w:rPr>
          <w:rFonts w:ascii="Times New Roman" w:hAnsi="Times New Roman"/>
          <w:b/>
          <w:sz w:val="24"/>
          <w:szCs w:val="24"/>
        </w:rPr>
      </w:pPr>
    </w:p>
    <w:p w:rsidR="004A2DC2" w:rsidRPr="004A2DC2" w:rsidRDefault="004A2DC2" w:rsidP="004A2DC2">
      <w:pPr>
        <w:spacing w:line="480" w:lineRule="auto"/>
        <w:ind w:firstLine="720"/>
        <w:jc w:val="both"/>
        <w:rPr>
          <w:rFonts w:ascii="Times New Roman" w:hAnsi="Times New Roman"/>
          <w:sz w:val="24"/>
          <w:szCs w:val="24"/>
        </w:rPr>
      </w:pPr>
    </w:p>
    <w:p w:rsidR="00EC035A" w:rsidRPr="00EC035A" w:rsidRDefault="00EC035A" w:rsidP="00ED73FC">
      <w:pPr>
        <w:spacing w:line="480" w:lineRule="auto"/>
        <w:jc w:val="both"/>
        <w:rPr>
          <w:lang w:val="en-US"/>
        </w:rPr>
      </w:pPr>
    </w:p>
    <w:sectPr w:rsidR="00EC035A" w:rsidRPr="00EC035A" w:rsidSect="00EC035A">
      <w:head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88E" w:rsidRDefault="0067288E" w:rsidP="00EC035A">
      <w:pPr>
        <w:spacing w:after="0" w:line="240" w:lineRule="auto"/>
      </w:pPr>
      <w:r>
        <w:separator/>
      </w:r>
    </w:p>
  </w:endnote>
  <w:endnote w:type="continuationSeparator" w:id="1">
    <w:p w:rsidR="0067288E" w:rsidRDefault="0067288E" w:rsidP="00EC03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88E" w:rsidRDefault="0067288E" w:rsidP="00EC035A">
      <w:pPr>
        <w:spacing w:after="0" w:line="240" w:lineRule="auto"/>
      </w:pPr>
      <w:r>
        <w:separator/>
      </w:r>
    </w:p>
  </w:footnote>
  <w:footnote w:type="continuationSeparator" w:id="1">
    <w:p w:rsidR="0067288E" w:rsidRDefault="0067288E" w:rsidP="00EC03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5C" w:rsidRPr="00EC035A" w:rsidRDefault="00BD2F5C" w:rsidP="00EC035A">
    <w:pPr>
      <w:pStyle w:val="Header"/>
      <w:spacing w:line="480" w:lineRule="auto"/>
      <w:rPr>
        <w:rFonts w:ascii="Times New Roman" w:hAnsi="Times New Roman"/>
        <w:caps/>
        <w:sz w:val="24"/>
        <w:szCs w:val="24"/>
      </w:rPr>
    </w:pPr>
    <w:r w:rsidRPr="00EC035A">
      <w:rPr>
        <w:rFonts w:ascii="Times New Roman" w:hAnsi="Times New Roman"/>
        <w:caps/>
        <w:sz w:val="24"/>
        <w:szCs w:val="24"/>
      </w:rPr>
      <w:t>Root-Cause Analysis and SAFETY Improvement Plan</w:t>
    </w:r>
    <w:r>
      <w:tab/>
    </w:r>
    <w:r>
      <w:tab/>
    </w:r>
    <w:r>
      <w:tab/>
    </w:r>
    <w:r>
      <w:tab/>
    </w:r>
    <w:r>
      <w:tab/>
    </w:r>
    <w:r>
      <w:tab/>
    </w:r>
    <w:r>
      <w:tab/>
    </w:r>
    <w:r>
      <w:tab/>
    </w:r>
    <w:r w:rsidRPr="00EC035A">
      <w:rPr>
        <w:rFonts w:ascii="Times New Roman" w:hAnsi="Times New Roman"/>
        <w:caps/>
        <w:sz w:val="24"/>
        <w:szCs w:val="24"/>
      </w:rPr>
      <w:t>Root-Cause Analysis and SAFETY Improvement Plan</w:t>
    </w:r>
  </w:p>
  <w:p w:rsidR="00BD2F5C" w:rsidRDefault="00D95D16" w:rsidP="00EC035A">
    <w:pPr>
      <w:pStyle w:val="Header"/>
      <w:jc w:val="right"/>
    </w:pPr>
    <w:fldSimple w:instr=" PAGE   \* MERGEFORMAT ">
      <w:r w:rsidR="00945333">
        <w:rPr>
          <w:noProof/>
        </w:rPr>
        <w:t>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5C" w:rsidRPr="00EC035A" w:rsidRDefault="00BD2F5C" w:rsidP="00EC035A">
    <w:pPr>
      <w:pStyle w:val="Header"/>
      <w:spacing w:line="480" w:lineRule="auto"/>
      <w:rPr>
        <w:rFonts w:ascii="Times New Roman" w:hAnsi="Times New Roman"/>
        <w:caps/>
        <w:sz w:val="24"/>
        <w:szCs w:val="24"/>
      </w:rPr>
    </w:pPr>
    <w:r w:rsidRPr="00EC035A">
      <w:rPr>
        <w:rFonts w:ascii="Times New Roman" w:hAnsi="Times New Roman"/>
        <w:sz w:val="24"/>
        <w:szCs w:val="24"/>
      </w:rPr>
      <w:t xml:space="preserve">Running Head: </w:t>
    </w:r>
    <w:r w:rsidRPr="00EC035A">
      <w:rPr>
        <w:rFonts w:ascii="Times New Roman" w:hAnsi="Times New Roman"/>
        <w:caps/>
        <w:sz w:val="24"/>
        <w:szCs w:val="24"/>
      </w:rPr>
      <w:t>Root-Cause Analysis and SAFETY Improvement Plan</w:t>
    </w:r>
  </w:p>
  <w:p w:rsidR="00BD2F5C" w:rsidRDefault="00D95D16">
    <w:pPr>
      <w:pStyle w:val="Header"/>
      <w:jc w:val="right"/>
    </w:pPr>
    <w:r w:rsidRPr="00EC035A">
      <w:rPr>
        <w:rFonts w:ascii="Times New Roman" w:hAnsi="Times New Roman"/>
        <w:sz w:val="24"/>
        <w:szCs w:val="24"/>
      </w:rPr>
      <w:fldChar w:fldCharType="begin"/>
    </w:r>
    <w:r w:rsidR="00BD2F5C" w:rsidRPr="00EC035A">
      <w:rPr>
        <w:rFonts w:ascii="Times New Roman" w:hAnsi="Times New Roman"/>
        <w:sz w:val="24"/>
        <w:szCs w:val="24"/>
      </w:rPr>
      <w:instrText xml:space="preserve"> PAGE   \* MERGEFORMAT </w:instrText>
    </w:r>
    <w:r w:rsidRPr="00EC035A">
      <w:rPr>
        <w:rFonts w:ascii="Times New Roman" w:hAnsi="Times New Roman"/>
        <w:sz w:val="24"/>
        <w:szCs w:val="24"/>
      </w:rPr>
      <w:fldChar w:fldCharType="separate"/>
    </w:r>
    <w:r w:rsidR="00945333">
      <w:rPr>
        <w:rFonts w:ascii="Times New Roman" w:hAnsi="Times New Roman"/>
        <w:noProof/>
        <w:sz w:val="24"/>
        <w:szCs w:val="24"/>
      </w:rPr>
      <w:t>1</w:t>
    </w:r>
    <w:r w:rsidRPr="00EC035A">
      <w:rPr>
        <w:rFonts w:ascii="Times New Roman" w:hAnsi="Times New Roman"/>
        <w:sz w:val="24"/>
        <w:szCs w:val="24"/>
      </w:rPr>
      <w:fldChar w:fldCharType="end"/>
    </w:r>
  </w:p>
  <w:p w:rsidR="00BD2F5C" w:rsidRDefault="00BD2F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C035A"/>
    <w:rsid w:val="00044A4A"/>
    <w:rsid w:val="000628DB"/>
    <w:rsid w:val="000A3230"/>
    <w:rsid w:val="000B7C4A"/>
    <w:rsid w:val="000E7772"/>
    <w:rsid w:val="00201DF0"/>
    <w:rsid w:val="003957F3"/>
    <w:rsid w:val="0046010D"/>
    <w:rsid w:val="004A2DC2"/>
    <w:rsid w:val="00502369"/>
    <w:rsid w:val="005C317C"/>
    <w:rsid w:val="0067288E"/>
    <w:rsid w:val="00703D6C"/>
    <w:rsid w:val="0075519D"/>
    <w:rsid w:val="00767E3B"/>
    <w:rsid w:val="00813A20"/>
    <w:rsid w:val="00856CF9"/>
    <w:rsid w:val="008E69B3"/>
    <w:rsid w:val="00922438"/>
    <w:rsid w:val="00945333"/>
    <w:rsid w:val="00954ABD"/>
    <w:rsid w:val="009854DD"/>
    <w:rsid w:val="009C6458"/>
    <w:rsid w:val="00A13977"/>
    <w:rsid w:val="00A963ED"/>
    <w:rsid w:val="00AE34AA"/>
    <w:rsid w:val="00AF69F7"/>
    <w:rsid w:val="00B00321"/>
    <w:rsid w:val="00BD2F5C"/>
    <w:rsid w:val="00D95D16"/>
    <w:rsid w:val="00E0539D"/>
    <w:rsid w:val="00EC035A"/>
    <w:rsid w:val="00ED73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772"/>
    <w:pPr>
      <w:spacing w:after="200" w:line="276" w:lineRule="auto"/>
    </w:pPr>
    <w:rPr>
      <w:sz w:val="22"/>
      <w:szCs w:val="22"/>
      <w:lang w:eastAsia="en-US"/>
    </w:rPr>
  </w:style>
  <w:style w:type="paragraph" w:styleId="Heading1">
    <w:name w:val="heading 1"/>
    <w:basedOn w:val="Normal"/>
    <w:next w:val="Normal"/>
    <w:link w:val="Heading1Char"/>
    <w:uiPriority w:val="9"/>
    <w:qFormat/>
    <w:rsid w:val="00ED73F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unhideWhenUsed/>
    <w:qFormat/>
    <w:rsid w:val="00EC035A"/>
    <w:pPr>
      <w:keepNext/>
      <w:keepLines/>
      <w:spacing w:before="40" w:after="0" w:line="240" w:lineRule="auto"/>
      <w:contextualSpacing/>
      <w:outlineLvl w:val="1"/>
    </w:pPr>
    <w:rPr>
      <w:rFonts w:ascii="Cambria" w:eastAsia="Times New Roma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5A"/>
  </w:style>
  <w:style w:type="paragraph" w:styleId="Footer">
    <w:name w:val="footer"/>
    <w:basedOn w:val="Normal"/>
    <w:link w:val="FooterChar"/>
    <w:uiPriority w:val="99"/>
    <w:semiHidden/>
    <w:unhideWhenUsed/>
    <w:rsid w:val="00EC035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035A"/>
  </w:style>
  <w:style w:type="character" w:customStyle="1" w:styleId="e24kjd">
    <w:name w:val="e24kjd"/>
    <w:basedOn w:val="DefaultParagraphFont"/>
    <w:rsid w:val="00EC035A"/>
  </w:style>
  <w:style w:type="character" w:customStyle="1" w:styleId="Heading2Char">
    <w:name w:val="Heading 2 Char"/>
    <w:basedOn w:val="DefaultParagraphFont"/>
    <w:link w:val="Heading2"/>
    <w:uiPriority w:val="9"/>
    <w:rsid w:val="00EC035A"/>
    <w:rPr>
      <w:rFonts w:ascii="Cambria" w:eastAsia="Times New Roman" w:hAnsi="Cambria" w:cs="Times New Roman"/>
      <w:color w:val="365F91"/>
      <w:sz w:val="26"/>
      <w:szCs w:val="26"/>
      <w:lang w:val="en-US"/>
    </w:rPr>
  </w:style>
  <w:style w:type="character" w:customStyle="1" w:styleId="st">
    <w:name w:val="st"/>
    <w:basedOn w:val="DefaultParagraphFont"/>
    <w:rsid w:val="00E0539D"/>
  </w:style>
  <w:style w:type="character" w:styleId="Emphasis">
    <w:name w:val="Emphasis"/>
    <w:basedOn w:val="DefaultParagraphFont"/>
    <w:uiPriority w:val="20"/>
    <w:qFormat/>
    <w:rsid w:val="00E0539D"/>
    <w:rPr>
      <w:i/>
      <w:iCs/>
    </w:rPr>
  </w:style>
  <w:style w:type="character" w:styleId="Strong">
    <w:name w:val="Strong"/>
    <w:basedOn w:val="DefaultParagraphFont"/>
    <w:uiPriority w:val="22"/>
    <w:qFormat/>
    <w:rsid w:val="00B00321"/>
    <w:rPr>
      <w:b/>
      <w:bCs/>
    </w:rPr>
  </w:style>
  <w:style w:type="character" w:styleId="Hyperlink">
    <w:name w:val="Hyperlink"/>
    <w:basedOn w:val="DefaultParagraphFont"/>
    <w:uiPriority w:val="99"/>
    <w:unhideWhenUsed/>
    <w:rsid w:val="000628DB"/>
    <w:rPr>
      <w:color w:val="0000FF"/>
      <w:u w:val="single"/>
    </w:rPr>
  </w:style>
  <w:style w:type="paragraph" w:styleId="NormalWeb">
    <w:name w:val="Normal (Web)"/>
    <w:basedOn w:val="Normal"/>
    <w:uiPriority w:val="99"/>
    <w:semiHidden/>
    <w:unhideWhenUsed/>
    <w:rsid w:val="000628D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lid-translation">
    <w:name w:val="tlid-translation"/>
    <w:basedOn w:val="DefaultParagraphFont"/>
    <w:rsid w:val="00A963ED"/>
  </w:style>
  <w:style w:type="character" w:customStyle="1" w:styleId="Heading1Char">
    <w:name w:val="Heading 1 Char"/>
    <w:basedOn w:val="DefaultParagraphFont"/>
    <w:link w:val="Heading1"/>
    <w:uiPriority w:val="9"/>
    <w:rsid w:val="00ED73FC"/>
    <w:rPr>
      <w:rFonts w:asciiTheme="majorHAnsi" w:eastAsiaTheme="majorEastAsia" w:hAnsiTheme="majorHAnsi" w:cstheme="majorBidi"/>
      <w:b/>
      <w:bCs/>
      <w:color w:val="365F91" w:themeColor="accent1" w:themeShade="BF"/>
      <w:sz w:val="28"/>
      <w:szCs w:val="28"/>
      <w:lang w:val="en-US" w:eastAsia="en-US" w:bidi="en-US"/>
    </w:rPr>
  </w:style>
  <w:style w:type="paragraph" w:styleId="BalloonText">
    <w:name w:val="Balloon Text"/>
    <w:basedOn w:val="Normal"/>
    <w:link w:val="BalloonTextChar"/>
    <w:uiPriority w:val="99"/>
    <w:semiHidden/>
    <w:unhideWhenUsed/>
    <w:rsid w:val="00ED7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3FC"/>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775519263">
      <w:bodyDiv w:val="1"/>
      <w:marLeft w:val="0"/>
      <w:marRight w:val="0"/>
      <w:marTop w:val="0"/>
      <w:marBottom w:val="0"/>
      <w:divBdr>
        <w:top w:val="none" w:sz="0" w:space="0" w:color="auto"/>
        <w:left w:val="none" w:sz="0" w:space="0" w:color="auto"/>
        <w:bottom w:val="none" w:sz="0" w:space="0" w:color="auto"/>
        <w:right w:val="none" w:sz="0" w:space="0" w:color="auto"/>
      </w:divBdr>
    </w:div>
    <w:div w:id="1027372727">
      <w:bodyDiv w:val="1"/>
      <w:marLeft w:val="0"/>
      <w:marRight w:val="0"/>
      <w:marTop w:val="0"/>
      <w:marBottom w:val="0"/>
      <w:divBdr>
        <w:top w:val="none" w:sz="0" w:space="0" w:color="auto"/>
        <w:left w:val="none" w:sz="0" w:space="0" w:color="auto"/>
        <w:bottom w:val="none" w:sz="0" w:space="0" w:color="auto"/>
        <w:right w:val="none" w:sz="0" w:space="0" w:color="auto"/>
      </w:divBdr>
    </w:div>
    <w:div w:id="139489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ericanpregnancy.org/your-pregnancy/fatigue-during-pregnancy/" TargetMode="External"/><Relationship Id="rId13" Type="http://schemas.openxmlformats.org/officeDocument/2006/relationships/hyperlink" Target="https://doi.org/10.1002/14651858.CD00375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s12245-017-0149-4" TargetMode="External"/><Relationship Id="rId12" Type="http://schemas.openxmlformats.org/officeDocument/2006/relationships/hyperlink" Target="https://www.ncbi.nlm.nih.gov/books/NBK49995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36/qshc.2004.01003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shp.org/-/media/assets/policy-guidelines/docs/guidelines/preventing-medication-errors-hospitals.ashx" TargetMode="External"/><Relationship Id="rId4" Type="http://schemas.openxmlformats.org/officeDocument/2006/relationships/webSettings" Target="webSettings.xml"/><Relationship Id="rId9" Type="http://schemas.openxmlformats.org/officeDocument/2006/relationships/hyperlink" Target="https://www.ashp.org/-/media/assets/policy-guidelines/docs/guidelines/preventing-medication-errors-hospitals.ashx" TargetMode="External"/><Relationship Id="rId14" Type="http://schemas.openxmlformats.org/officeDocument/2006/relationships/hyperlink" Target="https://doi.org/10.1097/00001888-%20200512000-00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3216F-8CEA-4A1E-9A32-C90DAF0BF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9733</Characters>
  <Application>Microsoft Office Word</Application>
  <DocSecurity>0</DocSecurity>
  <Lines>81</Lines>
  <Paragraphs>22</Paragraphs>
  <ScaleCrop>false</ScaleCrop>
  <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Subash</dc:creator>
  <cp:lastModifiedBy>user</cp:lastModifiedBy>
  <cp:revision>2</cp:revision>
  <dcterms:created xsi:type="dcterms:W3CDTF">2020-07-15T05:15:00Z</dcterms:created>
  <dcterms:modified xsi:type="dcterms:W3CDTF">2020-07-15T05:15:00Z</dcterms:modified>
</cp:coreProperties>
</file>